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-________/</w:t>
      </w:r>
      <w:r>
        <w:rPr>
          <w:b w:val="0"/>
          <w:bCs w:val="0"/>
          <w:i w:val="0"/>
          <w:sz w:val="28"/>
          <w:szCs w:val="28"/>
        </w:rPr>
        <w:t>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01774539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К035КО116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переставил на 30 метров. Полагал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срок лишения права управления транспортными средствами истек, так как писал заявление об утере водительского удостоверения. Водительское удостоверение нашел в своей автомашине, его изъяли сотрудники ДПС при остановке транспортного средства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>то нашел свое водительское удостоверение при поднятии коврика во время уборки пыли пылесосом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7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К035КО116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ОГИБДД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Нижнекамскому судебному району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</w:t>
      </w:r>
      <w:r>
        <w:rPr>
          <w:rStyle w:val="cat-Sumgrp-22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автоматизированной системы мировых судей по делу №05-0228/8/2020. Срок лишения с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16 ТИ </w:t>
      </w:r>
      <w:r>
        <w:rPr>
          <w:rStyle w:val="cat-PhoneNumbergrp-28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изъятии у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3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9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абз.4 п. 32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Style w:val="cat-Timegrp-26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4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4rplc-10">
    <w:name w:val="cat-Time grp-24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27rplc-14">
    <w:name w:val="cat-CarMakeModel grp-2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CarMakeModelgrp-27rplc-20">
    <w:name w:val="cat-CarMakeModel grp-27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Sumgrp-22rplc-26">
    <w:name w:val="cat-Sum grp-22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PhoneNumbergrp-28rplc-31">
    <w:name w:val="cat-PhoneNumber grp-28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Timegrp-25rplc-34">
    <w:name w:val="cat-Time grp-25 rplc-34"/>
    <w:basedOn w:val="DefaultParagraphFont"/>
  </w:style>
  <w:style w:type="character" w:customStyle="1" w:styleId="cat-PhoneNumbergrp-29rplc-35">
    <w:name w:val="cat-PhoneNumber grp-29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6rplc-40">
    <w:name w:val="cat-Time grp-26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FIOgrp-21rplc-43">
    <w:name w:val="cat-FIO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