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5664"/>
        <w:jc w:val="righ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№ 5- __________</w:t>
      </w:r>
      <w:r>
        <w:rPr>
          <w:rFonts w:ascii="Times New Roman" w:eastAsia="Times New Roman" w:hAnsi="Times New Roman" w:cs="Times New Roman"/>
        </w:rPr>
        <w:t>/4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</w:p>
    <w:p>
      <w:pPr>
        <w:spacing w:before="0" w:after="0"/>
        <w:ind w:left="5664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Dategrp-4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статьи 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9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ExternalSystemDefinedgrp-15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5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Addressgrp-0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по адресу: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холостого, не работающего, неоднократно подвергавшегося административному наказанию, со слов инвалидности не имеющего,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6rplc-1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0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поднадзорным лицом,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решений Приволжского районного суда </w:t>
      </w:r>
      <w:r>
        <w:rPr>
          <w:rStyle w:val="cat-Addressgrp-1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суда </w:t>
      </w:r>
      <w:r>
        <w:rPr>
          <w:rStyle w:val="cat-Addressgrp-1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нарушил ограничение установленное судами в виде обязательной явки в ОВД на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в месяц, то есть в указанный день на регистрацию не явился.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0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свою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привлекаемое лицо, </w:t>
      </w: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0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копиями решений Приволжского районного суда </w:t>
      </w:r>
      <w:r>
        <w:rPr>
          <w:rStyle w:val="cat-Addressgrp-1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суда </w:t>
      </w:r>
      <w:r>
        <w:rPr>
          <w:rStyle w:val="cat-Addressgrp-1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рапортом сотрудника полиции,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предупреждения, копией регистрационного листа и графика прибытия поднадзорного лица, сведениями по административным правонарушениям в отношении последнего и иными материалами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действия </w:t>
      </w:r>
      <w:r>
        <w:rPr>
          <w:rStyle w:val="cat-FIOgrp-11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по части 3 статьи 19.24 Кодекса Российской Федерации об административных правонарушениях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что влечет обязательные работы на срок до сорока часов либо административный арест на срок от десяти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</w:t>
      </w:r>
      <w:r>
        <w:rPr>
          <w:rStyle w:val="cat-SumInWordsgrp-13rplc-19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руководствуется общими правилами назначения административного наказания, которые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предусмотрены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правонарушениях, и учитывает 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</w:t>
      </w:r>
      <w:r>
        <w:rPr>
          <w:rFonts w:ascii="Times New Roman" w:eastAsia="Times New Roman" w:hAnsi="Times New Roman" w:cs="Times New Roman"/>
          <w:sz w:val="28"/>
          <w:szCs w:val="28"/>
        </w:rPr>
        <w:t>личност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>, его имущественное положение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либо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административную ответственность, мировым судьей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 мировой судья учитывает неоднократное привлечение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года к административной ответственности за совершение различных административных правонарушений.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виды административного наказания не связанные с изоляцией от общества должного воздействия на правонарушителя не оказывают, мировой судья приходит к </w:t>
      </w:r>
      <w:r>
        <w:rPr>
          <w:rFonts w:ascii="Times New Roman" w:eastAsia="Times New Roman" w:hAnsi="Times New Roman" w:cs="Times New Roman"/>
          <w:sz w:val="28"/>
          <w:szCs w:val="28"/>
        </w:rPr>
        <w:t>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необходимости назначения наказания привлекаемому лицу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административного ареста в целях исправления правонарушителя и предупреждения совершения последним новых правонарушений.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Style w:val="cat-FIOgrp-9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3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ему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ареста сроком 10 суток, исчисляя срок административного ареста с </w:t>
      </w:r>
      <w:r>
        <w:rPr>
          <w:rStyle w:val="cat-Timegrp-14rplc-2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Style w:val="cat-Dategrp-7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Style w:val="cat-Addressgrp-1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либо непосредственно в городской суд.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Style w:val="cat-FIOgrp-12rplc-25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_______________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года.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26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center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8rplc-3">
    <w:name w:val="cat-FIO grp-8 rplc-3"/>
    <w:basedOn w:val="DefaultParagraphFont"/>
  </w:style>
  <w:style w:type="character" w:customStyle="1" w:styleId="cat-FIOgrp-9rplc-4">
    <w:name w:val="cat-FIO grp-9 rplc-4"/>
    <w:basedOn w:val="DefaultParagraphFont"/>
  </w:style>
  <w:style w:type="character" w:customStyle="1" w:styleId="cat-ExternalSystemDefinedgrp-15rplc-5">
    <w:name w:val="cat-ExternalSystemDefined grp-15 rplc-5"/>
    <w:basedOn w:val="DefaultParagraphFont"/>
  </w:style>
  <w:style w:type="character" w:customStyle="1" w:styleId="cat-Dategrp-5rplc-6">
    <w:name w:val="cat-Date grp-5 rplc-6"/>
    <w:basedOn w:val="DefaultParagraphFont"/>
  </w:style>
  <w:style w:type="character" w:customStyle="1" w:styleId="cat-Addressgrp-0rplc-7">
    <w:name w:val="cat-Address grp-0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FIOgrp-10rplc-11">
    <w:name w:val="cat-FIO grp-10 rplc-11"/>
    <w:basedOn w:val="DefaultParagraphFont"/>
  </w:style>
  <w:style w:type="character" w:customStyle="1" w:styleId="cat-Addressgrp-1rplc-12">
    <w:name w:val="cat-Address grp-1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FIOgrp-10rplc-14">
    <w:name w:val="cat-FIO grp-10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Addressgrp-1rplc-16">
    <w:name w:val="cat-Address grp-1 rplc-16"/>
    <w:basedOn w:val="DefaultParagraphFont"/>
  </w:style>
  <w:style w:type="character" w:customStyle="1" w:styleId="cat-Addressgrp-1rplc-17">
    <w:name w:val="cat-Address grp-1 rplc-17"/>
    <w:basedOn w:val="DefaultParagraphFont"/>
  </w:style>
  <w:style w:type="character" w:customStyle="1" w:styleId="cat-FIOgrp-11rplc-18">
    <w:name w:val="cat-FIO grp-11 rplc-18"/>
    <w:basedOn w:val="DefaultParagraphFont"/>
  </w:style>
  <w:style w:type="character" w:customStyle="1" w:styleId="cat-SumInWordsgrp-13rplc-19">
    <w:name w:val="cat-SumInWords grp-13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FIOgrp-9rplc-21">
    <w:name w:val="cat-FIO grp-9 rplc-21"/>
    <w:basedOn w:val="DefaultParagraphFont"/>
  </w:style>
  <w:style w:type="character" w:customStyle="1" w:styleId="cat-Timegrp-14rplc-22">
    <w:name w:val="cat-Time grp-14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Addressgrp-1rplc-24">
    <w:name w:val="cat-Address grp-1 rplc-24"/>
    <w:basedOn w:val="DefaultParagraphFont"/>
  </w:style>
  <w:style w:type="character" w:customStyle="1" w:styleId="cat-FIOgrp-12rplc-25">
    <w:name w:val="cat-FIO grp-12 rplc-25"/>
    <w:basedOn w:val="DefaultParagraphFont"/>
  </w:style>
  <w:style w:type="character" w:customStyle="1" w:styleId="cat-FIOgrp-12rplc-26">
    <w:name w:val="cat-FIO grp-12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