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 ____________/2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right="53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5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ind w:right="534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534"/>
        <w:jc w:val="center"/>
        <w:rPr>
          <w:sz w:val="26"/>
          <w:szCs w:val="26"/>
        </w:rPr>
      </w:pP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10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5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женатого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осуществляющего трудовую деятельность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117" w:firstLine="540"/>
        <w:jc w:val="center"/>
        <w:rPr>
          <w:sz w:val="26"/>
          <w:szCs w:val="26"/>
        </w:rPr>
      </w:pPr>
    </w:p>
    <w:p>
      <w:pPr>
        <w:spacing w:before="0" w:after="0"/>
        <w:ind w:right="117"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Dategrp-11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 наркотическое средство «</w:t>
      </w:r>
      <w:r>
        <w:rPr>
          <w:rFonts w:ascii="Times New Roman" w:eastAsia="Times New Roman" w:hAnsi="Times New Roman" w:cs="Times New Roman"/>
          <w:sz w:val="26"/>
          <w:szCs w:val="26"/>
        </w:rPr>
        <w:t>дельта-9-тетрагидроканнабиноловая кислота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путем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выкуривания через </w:t>
      </w:r>
      <w:r>
        <w:rPr>
          <w:rFonts w:ascii="Times New Roman" w:eastAsia="Times New Roman" w:hAnsi="Times New Roman" w:cs="Times New Roman"/>
          <w:sz w:val="26"/>
          <w:szCs w:val="26"/>
        </w:rPr>
        <w:t>курительную трубку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выслушав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помимо его признания, подтверждается исследованными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справка ГАУЗ ЕЦРБ о том, что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учет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</w:t>
      </w:r>
      <w:r>
        <w:rPr>
          <w:rFonts w:ascii="Times New Roman" w:eastAsia="Times New Roman" w:hAnsi="Times New Roman" w:cs="Times New Roman"/>
          <w:sz w:val="26"/>
          <w:szCs w:val="26"/>
        </w:rPr>
        <w:t>ркологическом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кабинет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Содеянное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6.9 Кодекса Российской Федерации об административных правонарушениях, как потребление наркотических средств без назначения врача, за исключением случаев, предусмотренных частью 2 статьи 20.20, статьей 20.22 Кодекса Российской Федерации об административных правонарушениях, что влечет наложение административного штрафа в размере от четырех тысяч до </w:t>
      </w:r>
      <w:r>
        <w:rPr>
          <w:rStyle w:val="cat-SumInWordsgrp-16rplc-1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пятнадцати суток.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состояние здоровья, а также имущественное положение.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диагностику, а при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</w:p>
    <w:p>
      <w:pPr>
        <w:spacing w:before="0" w:after="0"/>
        <w:ind w:right="117"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7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2.1. ст. 4.1 Кодекса Российской Федерации об административных правонарушениях на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szCs w:val="26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регистрации, то есть в ГАУЗ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PhoneNumbergrp-20rplc-2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РТ, </w:t>
      </w:r>
      <w:r>
        <w:rPr>
          <w:rStyle w:val="cat-Addressgrp-6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 приступить к исполнению обязанности в виде прохождения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диагностики,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лечени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наркомании и (или) медицинск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социальн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реабилитаци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его регистрации.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мероприятия, лечение от наркомании и (или) медицинскую и (или) социальную реабилитаци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 либо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веществ» возложить на отдел МВД России по </w:t>
      </w:r>
      <w:r>
        <w:rPr>
          <w:rStyle w:val="cat-Addressgrp-7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со ст. 6.9.1 Кодекса Российской Федерации об административных правонарушениях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2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 МВД России по </w:t>
      </w:r>
      <w:r>
        <w:rPr>
          <w:rStyle w:val="cat-Addressgrp-7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Style w:val="cat-PhoneNumbergrp-21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2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/счёт № 03100643000000011100, ОТДЕЛЕНИЕ-НБ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8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 Управление Федерального казначейства по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3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73111601063010009140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0318690900000000028620494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17"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постановление може</w:t>
      </w:r>
      <w:r>
        <w:rPr>
          <w:rFonts w:ascii="Times New Roman" w:eastAsia="Times New Roman" w:hAnsi="Times New Roman" w:cs="Times New Roman"/>
          <w:sz w:val="26"/>
          <w:szCs w:val="26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его копии в Елабужский городской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6"/>
          <w:szCs w:val="26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SumInWordsgrp-16rplc-29">
    <w:name w:val="cat-SumInWords grp-16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OrganizationNamegrp-18rplc-36">
    <w:name w:val="cat-OrganizationName grp-18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3rplc-44">
    <w:name w:val="cat-FIO grp-1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