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427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>УИД 16М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ind w:left="4248" w:firstLine="708"/>
        <w:jc w:val="right"/>
      </w:pPr>
    </w:p>
    <w:p>
      <w:pPr>
        <w:spacing w:before="0" w:after="0"/>
        <w:ind w:left="4248" w:firstLine="708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паспорт 9218 481782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6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шумел,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покой граждан и тишину в ночное время.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причины неявки мировому судье не </w:t>
      </w:r>
      <w:r>
        <w:rPr>
          <w:rFonts w:ascii="Times New Roman" w:eastAsia="Times New Roman" w:hAnsi="Times New Roman" w:cs="Times New Roman"/>
          <w:sz w:val="28"/>
          <w:szCs w:val="28"/>
        </w:rPr>
        <w:t>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sz w:val="28"/>
          <w:szCs w:val="28"/>
        </w:rPr>
        <w:t>адлежащим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месте и времени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поступало. В соответствии с ч. 2 ст. 25.1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дело рассмотрено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 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подписью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объяснением с признанием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свидетелей, рапортом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 под ночным временем понимается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«период времени с 22.00 часов до 6.00 часов в рабочие дни, а в выходные и нерабочие праздничные дни - с 22.00 часов до 9.00 часов»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обстоятельства дела, данные о личности правонарушителя.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обстоятельств,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Timegrp-16rplc-14">
    <w:name w:val="cat-Time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4rplc-23">
    <w:name w:val="cat-SumInWords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