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 _____________</w:t>
      </w:r>
      <w:r>
        <w:rPr>
          <w:rFonts w:ascii="Times New Roman" w:eastAsia="Times New Roman" w:hAnsi="Times New Roman" w:cs="Times New Roman"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9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гражданском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0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наркологическом отделении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д. 57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будучи лицом, в отношении которого имелись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отказался от прохождения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на самом деле 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считает, что вина последнего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 указанием об отказе от прохождения освидетельствования, объяснением свидетелей,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анным доказательствам оснований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eastAsia="Times New Roman" w:hAnsi="Times New Roman" w:cs="Times New Roman"/>
          <w:sz w:val="28"/>
          <w:szCs w:val="28"/>
        </w:rPr>
        <w:t>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 поскольку требования уполномоченного должностного лица обязательств для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лицами, которому оно адресовано.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Кодекса Российской Федерации об административных правонарушениях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что влечет наложение административного штрафа в размере от четырех тысяч до </w:t>
      </w:r>
      <w:r>
        <w:rPr>
          <w:rStyle w:val="cat-SumInWordsgrp-16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его здоровья.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также учитывает 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назначенные наказания не исполнены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приходит к выводу о необходимости назначения наказания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или психотропные вещества без назначения врача,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6.9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исчисляя срок административного ареста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без назначения врача, возложить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и лечение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расположенной по адресу: </w:t>
      </w:r>
      <w:r>
        <w:rPr>
          <w:rStyle w:val="cat-PhoneNumbergrp-19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3-х суток с момента вступления настоящего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законную силу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484 «Об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постановления,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Dategrp-9rplc-6">
    <w:name w:val="cat-Date grp-9 rplc-6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Timegrp-17rplc-10">
    <w:name w:val="cat-Time grp-17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InWordsgrp-16rplc-19">
    <w:name w:val="cat-SumInWords grp-16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PhoneNumbergrp-19rplc-26">
    <w:name w:val="cat-PhoneNumber grp-19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SumInWordsgrp-16rplc-31">
    <w:name w:val="cat-SumInWords grp-1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5">
    <w:name w:val="cat-FIO grp-1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