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1002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Нигматзянова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удостоверение: </w:t>
      </w:r>
      <w:r>
        <w:rPr>
          <w:rFonts w:ascii="Times New Roman" w:eastAsia="Times New Roman" w:hAnsi="Times New Roman" w:cs="Times New Roman"/>
          <w:sz w:val="28"/>
          <w:szCs w:val="28"/>
        </w:rPr>
        <w:t>9906 306117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Нигматзянов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18810516220424025135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24.04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15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Нигматзянов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 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не получал постановление о наложении штрафа. С апреля 2022 года </w:t>
      </w:r>
      <w:r>
        <w:rPr>
          <w:rFonts w:ascii="Times New Roman" w:eastAsia="Times New Roman" w:hAnsi="Times New Roman" w:cs="Times New Roman"/>
          <w:sz w:val="28"/>
          <w:szCs w:val="28"/>
        </w:rPr>
        <w:t>снят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регистрационного учета по месту жительства по адресу: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настоящее время регистрации по месту жительства не имеет.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18810516220424025135 от 24.04.2022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Нигматзянов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Нигматзянов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Нигматзянов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01713799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части 2 статьи 29.11 Кодекса Российской Федерации об административных правонарушениях копия постановления была направлена </w:t>
      </w:r>
      <w:r>
        <w:rPr>
          <w:rFonts w:ascii="Times New Roman" w:eastAsia="Times New Roman" w:hAnsi="Times New Roman" w:cs="Times New Roman"/>
          <w:sz w:val="28"/>
          <w:szCs w:val="28"/>
        </w:rPr>
        <w:t>Нигматзянову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почте заказным почтовым отправлением по адресу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проживания, указанному почтовому отправлению присвоен номер внутрироссийского почтового идентификатора </w:t>
      </w:r>
      <w:r>
        <w:rPr>
          <w:rFonts w:ascii="Times New Roman" w:eastAsia="Times New Roman" w:hAnsi="Times New Roman" w:cs="Times New Roman"/>
          <w:sz w:val="28"/>
          <w:szCs w:val="28"/>
        </w:rPr>
        <w:t>42094570095395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отправление не было вручено </w:t>
      </w:r>
      <w:r>
        <w:rPr>
          <w:rFonts w:ascii="Times New Roman" w:eastAsia="Times New Roman" w:hAnsi="Times New Roman" w:cs="Times New Roman"/>
          <w:sz w:val="28"/>
          <w:szCs w:val="28"/>
        </w:rPr>
        <w:t>Нигматзянову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было выслано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обратно за истечением срока хранения, поскольку за его получением он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отправление было передано на временное хранение.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причины неполучения копии постановления должностного лица, правового значения не имеют.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Приведенные выше обстоятельства свидетельствуют о том, что должностное лицо административного органа, вынесшего постановление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Нигматзянова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приняло надлежащие меры, предусмотренные законом, для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копии указанного постановления, направив ее по месту жительства гражданина, однако 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отсутствием по указанному адресу почтовое отправление возвратилось в адрес отправителя.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 </w:t>
      </w:r>
      <w:r>
        <w:rPr>
          <w:rFonts w:ascii="Times New Roman" w:eastAsia="Times New Roman" w:hAnsi="Times New Roman" w:cs="Times New Roman"/>
          <w:sz w:val="28"/>
          <w:szCs w:val="28"/>
        </w:rPr>
        <w:t>Нигматзянова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 о том, что он снят с регистрационного учета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опровергается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СПО СК: АС «Российский паспорт», согласно которым он с 20.12.2021 по настоящее время зарегистрирован по адресу: </w:t>
      </w:r>
      <w:r>
        <w:rPr>
          <w:rStyle w:val="cat-Addressgrp-2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Нигматзянов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Нигматзянова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 обстоятельством является наличие на иждивении троих малолетних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Нигматзянова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9713875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8"/>
          <w:szCs w:val="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6">
    <w:name w:val="cat-UserDefined grp-29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Addressgrp-2rplc-35">
    <w:name w:val="cat-Address grp-2 rplc-35"/>
    <w:basedOn w:val="DefaultParagraphFont"/>
  </w:style>
  <w:style w:type="character" w:customStyle="1" w:styleId="cat-UserDefinedgrp-29rplc-38">
    <w:name w:val="cat-UserDefined grp-29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